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7AFF9" w14:textId="1CB42ABE" w:rsidR="00BF1A6E" w:rsidRPr="00876762" w:rsidRDefault="00EF179E" w:rsidP="00EF179E">
      <w:pPr>
        <w:pStyle w:val="1"/>
        <w:spacing w:afterLines="50" w:after="180"/>
        <w:rPr>
          <w:rFonts w:ascii="HGSｺﾞｼｯｸM"/>
          <w:b w:val="0"/>
          <w:bCs w:val="0"/>
        </w:rPr>
      </w:pPr>
      <w:r w:rsidRPr="00876762">
        <w:rPr>
          <w:rFonts w:ascii="HGSｺﾞｼｯｸM" w:hint="eastAsia"/>
          <w:b w:val="0"/>
          <w:bCs w:val="0"/>
        </w:rPr>
        <w:t>【ワークシート</w:t>
      </w:r>
      <w:r w:rsidRPr="00876762">
        <w:rPr>
          <w:rFonts w:ascii="HGSｺﾞｼｯｸM" w:hint="eastAsia"/>
          <w:b w:val="0"/>
          <w:bCs w:val="0"/>
          <w:spacing w:val="28"/>
        </w:rPr>
        <w:t xml:space="preserve"> </w:t>
      </w:r>
      <w:r w:rsidR="00876762">
        <w:rPr>
          <w:rFonts w:ascii="HGSｺﾞｼｯｸM" w:hAnsi="Arial Black" w:hint="eastAsia"/>
          <w:b w:val="0"/>
          <w:bCs w:val="0"/>
        </w:rPr>
        <w:t>2-3-1</w:t>
      </w:r>
      <w:r w:rsidRPr="00876762">
        <w:rPr>
          <w:rFonts w:ascii="HGSｺﾞｼｯｸM" w:hint="eastAsia"/>
          <w:b w:val="0"/>
          <w:bCs w:val="0"/>
        </w:rPr>
        <w:t>】食事摂取基準に基づいた食事摂取状況の</w:t>
      </w:r>
      <w:r w:rsidR="00C31B8A">
        <w:rPr>
          <w:rFonts w:ascii="HGSｺﾞｼｯｸM" w:hint="eastAsia"/>
          <w:b w:val="0"/>
          <w:bCs w:val="0"/>
        </w:rPr>
        <w:t>食事評価</w:t>
      </w:r>
      <w:r w:rsidRPr="00876762">
        <w:rPr>
          <w:rFonts w:ascii="HGSｺﾞｼｯｸM" w:hint="eastAsia"/>
          <w:b w:val="0"/>
          <w:bCs w:val="0"/>
        </w:rPr>
        <w:t>方</w:t>
      </w:r>
      <w:r w:rsidRPr="00876762">
        <w:rPr>
          <w:rFonts w:ascii="HGSｺﾞｼｯｸM" w:hint="eastAsia"/>
          <w:b w:val="0"/>
          <w:bCs w:val="0"/>
          <w:spacing w:val="-10"/>
        </w:rPr>
        <w:t>法</w:t>
      </w:r>
    </w:p>
    <w:tbl>
      <w:tblPr>
        <w:tblStyle w:val="TableNormal"/>
        <w:tblW w:w="9639" w:type="dxa"/>
        <w:tblInd w:w="13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595"/>
        <w:gridCol w:w="4119"/>
      </w:tblGrid>
      <w:tr w:rsidR="00EF179E" w14:paraId="612F3124" w14:textId="77777777" w:rsidTr="00EC2823">
        <w:trPr>
          <w:trHeight w:val="276"/>
        </w:trPr>
        <w:tc>
          <w:tcPr>
            <w:tcW w:w="4925" w:type="dxa"/>
            <w:shd w:val="clear" w:color="auto" w:fill="E6E7E8"/>
          </w:tcPr>
          <w:p w14:paraId="1B3C151F" w14:textId="6C6EE98A" w:rsidR="00EF179E" w:rsidRPr="00EF179E" w:rsidRDefault="00C31B8A" w:rsidP="00CD4D0D">
            <w:pPr>
              <w:pStyle w:val="TableParagraph"/>
              <w:spacing w:before="28"/>
              <w:ind w:left="1672" w:right="1667"/>
              <w:jc w:val="center"/>
              <w:rPr>
                <w:rFonts w:ascii="HGSｺﾞｼｯｸM" w:eastAsia="HGSｺﾞｼｯｸM" w:hAnsi="HGPｺﾞｼｯｸE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w w:val="110"/>
                <w:sz w:val="15"/>
                <w:lang w:eastAsia="ja-JP"/>
              </w:rPr>
              <w:t>食事評価</w:t>
            </w:r>
            <w:proofErr w:type="spellStart"/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w w:val="110"/>
                <w:sz w:val="15"/>
              </w:rPr>
              <w:t>方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10"/>
                <w:w w:val="110"/>
                <w:sz w:val="15"/>
              </w:rPr>
              <w:t>法</w:t>
            </w:r>
            <w:proofErr w:type="spellEnd"/>
          </w:p>
        </w:tc>
        <w:tc>
          <w:tcPr>
            <w:tcW w:w="595" w:type="dxa"/>
            <w:shd w:val="clear" w:color="auto" w:fill="E6E7E8"/>
          </w:tcPr>
          <w:p w14:paraId="6B02FF5B" w14:textId="77777777" w:rsidR="00EF179E" w:rsidRPr="00EF179E" w:rsidRDefault="00EF179E" w:rsidP="00CD4D0D">
            <w:pPr>
              <w:pStyle w:val="TableParagraph"/>
              <w:spacing w:before="28"/>
              <w:ind w:left="125"/>
              <w:rPr>
                <w:rFonts w:ascii="HGSｺﾞｼｯｸM" w:eastAsia="HGSｺﾞｼｯｸM"/>
                <w:sz w:val="15"/>
              </w:rPr>
            </w:pPr>
            <w:proofErr w:type="spellStart"/>
            <w:r w:rsidRPr="00EF179E">
              <w:rPr>
                <w:rFonts w:ascii="HGSｺﾞｼｯｸM" w:eastAsia="HGSｺﾞｼｯｸM" w:hint="eastAsia"/>
                <w:color w:val="231F20"/>
                <w:sz w:val="15"/>
              </w:rPr>
              <w:t>正</w:t>
            </w:r>
            <w:r w:rsidRPr="00EF179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誤</w:t>
            </w:r>
            <w:proofErr w:type="spellEnd"/>
          </w:p>
        </w:tc>
        <w:tc>
          <w:tcPr>
            <w:tcW w:w="4119" w:type="dxa"/>
            <w:shd w:val="clear" w:color="auto" w:fill="E6E7E8"/>
          </w:tcPr>
          <w:p w14:paraId="6D0B2FA1" w14:textId="1605DD4B" w:rsidR="00EF179E" w:rsidRPr="00EF179E" w:rsidRDefault="00EF179E" w:rsidP="00CD4D0D">
            <w:pPr>
              <w:pStyle w:val="TableParagraph"/>
              <w:spacing w:before="28"/>
              <w:ind w:left="1322"/>
              <w:rPr>
                <w:rFonts w:ascii="HGSｺﾞｼｯｸM" w:eastAsia="HGSｺﾞｼｯｸM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正しい</w:t>
            </w:r>
            <w:r w:rsidR="00C31B8A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食事評価</w:t>
            </w:r>
            <w:r w:rsidRPr="00EF179E">
              <w:rPr>
                <w:rFonts w:ascii="HGSｺﾞｼｯｸM" w:eastAsia="HGSｺﾞｼｯｸM" w:hint="eastAsia"/>
                <w:color w:val="231F20"/>
                <w:w w:val="110"/>
                <w:sz w:val="15"/>
                <w:lang w:eastAsia="ja-JP"/>
              </w:rPr>
              <w:t>方</w:t>
            </w:r>
            <w:r w:rsidRPr="00EF179E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  <w:lang w:eastAsia="ja-JP"/>
              </w:rPr>
              <w:t>法</w:t>
            </w:r>
          </w:p>
        </w:tc>
      </w:tr>
      <w:tr w:rsidR="00EF179E" w14:paraId="7C5EC06A" w14:textId="77777777" w:rsidTr="00EC2823">
        <w:trPr>
          <w:trHeight w:val="1077"/>
        </w:trPr>
        <w:tc>
          <w:tcPr>
            <w:tcW w:w="4925" w:type="dxa"/>
            <w:vAlign w:val="center"/>
          </w:tcPr>
          <w:p w14:paraId="6A7D2371" w14:textId="28F8DC8A" w:rsidR="00EF179E" w:rsidRPr="00EF179E" w:rsidRDefault="00EF179E" w:rsidP="00057494">
            <w:pPr>
              <w:pStyle w:val="TableParagraph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15"/>
                <w:w w:val="175"/>
                <w:sz w:val="15"/>
                <w:lang w:eastAsia="ja-JP"/>
              </w:rPr>
              <w:t>（</w:t>
            </w:r>
            <w:r w:rsidR="00A10090">
              <w:rPr>
                <w:rFonts w:ascii="HGSｺﾞｼｯｸM" w:eastAsia="HGSｺﾞｼｯｸM" w:hAnsi="HGPｺﾞｼｯｸE" w:hint="eastAsia"/>
                <w:color w:val="231F20"/>
                <w:spacing w:val="15"/>
                <w:w w:val="69"/>
                <w:sz w:val="15"/>
                <w:lang w:eastAsia="ja-JP"/>
              </w:rPr>
              <w:t>1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4"/>
                <w:w w:val="175"/>
                <w:sz w:val="15"/>
                <w:lang w:eastAsia="ja-JP"/>
              </w:rPr>
              <w:t>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0"/>
                <w:sz w:val="15"/>
                <w:lang w:eastAsia="ja-JP"/>
              </w:rPr>
              <w:t>エネルギーの過不足を評価するため，推定エネルギー必要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10"/>
                <w:w w:val="110"/>
                <w:sz w:val="15"/>
                <w:lang w:eastAsia="ja-JP"/>
              </w:rPr>
              <w:t>量</w:t>
            </w:r>
          </w:p>
          <w:p w14:paraId="5DC59F6F" w14:textId="77777777" w:rsidR="00EF179E" w:rsidRPr="00EF179E" w:rsidRDefault="00EF179E" w:rsidP="00057494">
            <w:pPr>
              <w:pStyle w:val="TableParagraph"/>
              <w:ind w:leftChars="200" w:left="420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30"/>
                <w:sz w:val="15"/>
                <w:lang w:eastAsia="ja-JP"/>
              </w:rPr>
              <w:t>（EER）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0"/>
                <w:sz w:val="15"/>
                <w:lang w:eastAsia="ja-JP"/>
              </w:rPr>
              <w:t>に対する平均エネルギー摂取量の比率を算出した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10"/>
                <w:w w:val="110"/>
                <w:sz w:val="15"/>
                <w:lang w:eastAsia="ja-JP"/>
              </w:rPr>
              <w:t>．</w:t>
            </w:r>
          </w:p>
        </w:tc>
        <w:tc>
          <w:tcPr>
            <w:tcW w:w="595" w:type="dxa"/>
          </w:tcPr>
          <w:p w14:paraId="0182490F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  <w:tc>
          <w:tcPr>
            <w:tcW w:w="4119" w:type="dxa"/>
          </w:tcPr>
          <w:p w14:paraId="7E396EDB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EF179E" w14:paraId="51DD610E" w14:textId="77777777" w:rsidTr="00EC2823">
        <w:trPr>
          <w:trHeight w:val="1077"/>
        </w:trPr>
        <w:tc>
          <w:tcPr>
            <w:tcW w:w="4925" w:type="dxa"/>
            <w:vAlign w:val="center"/>
          </w:tcPr>
          <w:p w14:paraId="131582F6" w14:textId="77777777" w:rsidR="00057494" w:rsidRDefault="00EF179E" w:rsidP="00057494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17"/>
                <w:w w:val="155"/>
                <w:sz w:val="15"/>
                <w:lang w:eastAsia="ja-JP"/>
              </w:rPr>
              <w:t>（</w:t>
            </w:r>
            <w:r w:rsidR="00A10090">
              <w:rPr>
                <w:rFonts w:ascii="HGSｺﾞｼｯｸM" w:eastAsia="HGSｺﾞｼｯｸM" w:hAnsi="HGPｺﾞｼｯｸE" w:hint="eastAsia"/>
                <w:color w:val="231F20"/>
                <w:spacing w:val="17"/>
                <w:w w:val="155"/>
                <w:sz w:val="15"/>
                <w:lang w:eastAsia="ja-JP"/>
              </w:rPr>
              <w:t>2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2"/>
                <w:w w:val="155"/>
                <w:sz w:val="15"/>
                <w:lang w:eastAsia="ja-JP"/>
              </w:rPr>
              <w:t>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たんぱく質の不足を評価するため，推奨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59"/>
                <w:w w:val="115"/>
                <w:sz w:val="15"/>
                <w:lang w:eastAsia="ja-JP"/>
              </w:rPr>
              <w:t>量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20"/>
                <w:sz w:val="15"/>
                <w:lang w:eastAsia="ja-JP"/>
              </w:rPr>
              <w:t>（RDA）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未満</w:t>
            </w:r>
            <w:r w:rsidR="00057494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の</w:t>
            </w:r>
          </w:p>
          <w:p w14:paraId="5A08ADCC" w14:textId="2C42A089" w:rsidR="00EF179E" w:rsidRPr="00EF179E" w:rsidRDefault="00EF179E" w:rsidP="00057494">
            <w:pPr>
              <w:pStyle w:val="TableParagraph"/>
              <w:ind w:leftChars="250" w:left="525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者の割合を算出した．</w:t>
            </w:r>
          </w:p>
        </w:tc>
        <w:tc>
          <w:tcPr>
            <w:tcW w:w="595" w:type="dxa"/>
          </w:tcPr>
          <w:p w14:paraId="1A005EBA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  <w:tc>
          <w:tcPr>
            <w:tcW w:w="4119" w:type="dxa"/>
          </w:tcPr>
          <w:p w14:paraId="1B3EC377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EF179E" w14:paraId="4800691C" w14:textId="77777777" w:rsidTr="00EC2823">
        <w:trPr>
          <w:trHeight w:val="1077"/>
        </w:trPr>
        <w:tc>
          <w:tcPr>
            <w:tcW w:w="4925" w:type="dxa"/>
            <w:vAlign w:val="center"/>
          </w:tcPr>
          <w:p w14:paraId="66DE2985" w14:textId="67A15057" w:rsidR="00057494" w:rsidRDefault="00EF179E" w:rsidP="00057494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（</w:t>
            </w:r>
            <w:r w:rsidR="00A10090"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3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2"/>
                <w:w w:val="165"/>
                <w:sz w:val="15"/>
                <w:lang w:eastAsia="ja-JP"/>
              </w:rPr>
              <w:t>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カリウムの不足を評価するため，目安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59"/>
                <w:w w:val="115"/>
                <w:sz w:val="15"/>
                <w:lang w:eastAsia="ja-JP"/>
              </w:rPr>
              <w:t>量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30"/>
                <w:sz w:val="15"/>
                <w:lang w:eastAsia="ja-JP"/>
              </w:rPr>
              <w:t>（AI）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を下回っ</w:t>
            </w:r>
            <w:r w:rsidR="00057494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て</w:t>
            </w:r>
          </w:p>
          <w:p w14:paraId="34E13219" w14:textId="329415D6" w:rsidR="00EF179E" w:rsidRPr="00EF179E" w:rsidRDefault="00EF179E" w:rsidP="00057494">
            <w:pPr>
              <w:pStyle w:val="TableParagraph"/>
              <w:ind w:leftChars="300" w:left="630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いる者の割合を算出した．</w:t>
            </w:r>
          </w:p>
        </w:tc>
        <w:tc>
          <w:tcPr>
            <w:tcW w:w="595" w:type="dxa"/>
          </w:tcPr>
          <w:p w14:paraId="3E4BC505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  <w:tc>
          <w:tcPr>
            <w:tcW w:w="4119" w:type="dxa"/>
          </w:tcPr>
          <w:p w14:paraId="7BD225C8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EF179E" w14:paraId="1DC625D3" w14:textId="77777777" w:rsidTr="00EC2823">
        <w:trPr>
          <w:trHeight w:val="1077"/>
        </w:trPr>
        <w:tc>
          <w:tcPr>
            <w:tcW w:w="4925" w:type="dxa"/>
            <w:vAlign w:val="center"/>
          </w:tcPr>
          <w:p w14:paraId="31B11453" w14:textId="2F146AFA" w:rsidR="00057494" w:rsidRDefault="006872A7" w:rsidP="006872A7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（</w:t>
            </w:r>
            <w:r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4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2"/>
                <w:w w:val="165"/>
                <w:sz w:val="15"/>
                <w:lang w:eastAsia="ja-JP"/>
              </w:rPr>
              <w:t>）</w:t>
            </w:r>
            <w:r w:rsidRPr="006872A7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  <w:lang w:eastAsia="ja-JP"/>
              </w:rPr>
              <w:t>生活習慣病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予防のためのナトリウ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59"/>
                <w:w w:val="115"/>
                <w:sz w:val="15"/>
                <w:lang w:eastAsia="ja-JP"/>
              </w:rPr>
              <w:t>ム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（食塩相当量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58"/>
                <w:w w:val="130"/>
                <w:sz w:val="15"/>
                <w:lang w:eastAsia="ja-JP"/>
              </w:rPr>
              <w:t>）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につい</w:t>
            </w:r>
          </w:p>
          <w:p w14:paraId="52CD2FF6" w14:textId="384E5F76" w:rsidR="00EF179E" w:rsidRPr="00EF179E" w:rsidRDefault="00EF179E" w:rsidP="006872A7">
            <w:pPr>
              <w:pStyle w:val="TableParagraph"/>
              <w:ind w:leftChars="250" w:left="525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て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30"/>
                <w:sz w:val="15"/>
                <w:lang w:eastAsia="ja-JP"/>
              </w:rPr>
              <w:t>，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目標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59"/>
                <w:w w:val="115"/>
                <w:sz w:val="15"/>
                <w:lang w:eastAsia="ja-JP"/>
              </w:rPr>
              <w:t>量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55"/>
                <w:sz w:val="15"/>
                <w:lang w:eastAsia="ja-JP"/>
              </w:rPr>
              <w:t>（DG）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以上の者の割合を算出した．</w:t>
            </w:r>
          </w:p>
        </w:tc>
        <w:tc>
          <w:tcPr>
            <w:tcW w:w="595" w:type="dxa"/>
          </w:tcPr>
          <w:p w14:paraId="24B5D393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  <w:tc>
          <w:tcPr>
            <w:tcW w:w="4119" w:type="dxa"/>
          </w:tcPr>
          <w:p w14:paraId="6E8274C2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EF179E" w14:paraId="5F224B22" w14:textId="77777777" w:rsidTr="00EC2823">
        <w:trPr>
          <w:trHeight w:val="1077"/>
        </w:trPr>
        <w:tc>
          <w:tcPr>
            <w:tcW w:w="4925" w:type="dxa"/>
            <w:vAlign w:val="center"/>
          </w:tcPr>
          <w:p w14:paraId="2D2D4CD3" w14:textId="77777777" w:rsidR="00057494" w:rsidRDefault="00A10090" w:rsidP="00057494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4"/>
                <w:w w:val="115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（</w:t>
            </w:r>
            <w:r>
              <w:rPr>
                <w:rFonts w:ascii="HGSｺﾞｼｯｸM" w:eastAsia="HGSｺﾞｼｯｸM" w:hAnsi="HGPｺﾞｼｯｸE" w:hint="eastAsia"/>
                <w:color w:val="231F20"/>
                <w:spacing w:val="17"/>
                <w:w w:val="165"/>
                <w:sz w:val="15"/>
                <w:lang w:eastAsia="ja-JP"/>
              </w:rPr>
              <w:t>5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2"/>
                <w:w w:val="165"/>
                <w:sz w:val="15"/>
                <w:lang w:eastAsia="ja-JP"/>
              </w:rPr>
              <w:t>）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5"/>
                <w:sz w:val="15"/>
                <w:lang w:eastAsia="ja-JP"/>
              </w:rPr>
              <w:t>ビタミ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12"/>
                <w:w w:val="115"/>
                <w:sz w:val="15"/>
                <w:lang w:eastAsia="ja-JP"/>
              </w:rPr>
              <w:t xml:space="preserve">ン 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5"/>
                <w:sz w:val="15"/>
                <w:lang w:eastAsia="ja-JP"/>
              </w:rPr>
              <w:t>A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16"/>
                <w:w w:val="115"/>
                <w:sz w:val="15"/>
                <w:lang w:eastAsia="ja-JP"/>
              </w:rPr>
              <w:t xml:space="preserve"> 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5"/>
                <w:sz w:val="15"/>
                <w:lang w:eastAsia="ja-JP"/>
              </w:rPr>
              <w:t>の過剰を評価するため，耐容上限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59"/>
                <w:w w:val="115"/>
                <w:sz w:val="15"/>
                <w:lang w:eastAsia="ja-JP"/>
              </w:rPr>
              <w:t>量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25"/>
                <w:sz w:val="15"/>
                <w:lang w:eastAsia="ja-JP"/>
              </w:rPr>
              <w:t>（UL）</w:t>
            </w:r>
            <w:r w:rsidR="00EF179E"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5"/>
                <w:sz w:val="15"/>
                <w:lang w:eastAsia="ja-JP"/>
              </w:rPr>
              <w:t>を下</w:t>
            </w:r>
          </w:p>
          <w:p w14:paraId="55A5C021" w14:textId="41CB3E99" w:rsidR="00EF179E" w:rsidRPr="00EF179E" w:rsidRDefault="00EF179E" w:rsidP="00057494">
            <w:pPr>
              <w:pStyle w:val="TableParagraph"/>
              <w:ind w:leftChars="300" w:left="630"/>
              <w:rPr>
                <w:rFonts w:ascii="HGSｺﾞｼｯｸM" w:eastAsia="HGSｺﾞｼｯｸM" w:hAnsi="HGPｺﾞｼｯｸE"/>
                <w:sz w:val="15"/>
                <w:lang w:eastAsia="ja-JP"/>
              </w:rPr>
            </w:pP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4"/>
                <w:w w:val="115"/>
                <w:sz w:val="15"/>
                <w:lang w:eastAsia="ja-JP"/>
              </w:rPr>
              <w:t>回</w:t>
            </w:r>
            <w:r w:rsidRPr="00EF179E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  <w:lang w:eastAsia="ja-JP"/>
              </w:rPr>
              <w:t>る者の割合を算出した．</w:t>
            </w:r>
          </w:p>
        </w:tc>
        <w:tc>
          <w:tcPr>
            <w:tcW w:w="595" w:type="dxa"/>
          </w:tcPr>
          <w:p w14:paraId="52C89FD5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  <w:tc>
          <w:tcPr>
            <w:tcW w:w="4119" w:type="dxa"/>
          </w:tcPr>
          <w:p w14:paraId="75A89328" w14:textId="77777777" w:rsidR="00EF179E" w:rsidRDefault="00EF179E" w:rsidP="00CD4D0D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</w:tbl>
    <w:p w14:paraId="7C69135F" w14:textId="23E828D5" w:rsidR="003E247F" w:rsidRPr="003E247F" w:rsidRDefault="003E247F" w:rsidP="003E247F">
      <w:pPr>
        <w:snapToGrid w:val="0"/>
        <w:spacing w:before="103" w:line="160" w:lineRule="atLeast"/>
        <w:ind w:left="221"/>
        <w:rPr>
          <w:rFonts w:ascii="Century Gothic" w:eastAsia="Century Gothic"/>
          <w:sz w:val="14"/>
        </w:rPr>
      </w:pPr>
      <w:r w:rsidRPr="003E247F">
        <w:rPr>
          <w:rStyle w:val="20"/>
        </w:rPr>
        <w:t>E</w:t>
      </w:r>
      <w:r w:rsidRPr="003E247F">
        <w:rPr>
          <w:rStyle w:val="20"/>
          <w:rFonts w:hint="eastAsia"/>
        </w:rPr>
        <w:t>E</w:t>
      </w:r>
      <w:r w:rsidRPr="003E247F">
        <w:rPr>
          <w:rStyle w:val="20"/>
        </w:rPr>
        <w:t>R</w:t>
      </w:r>
      <w:r>
        <w:rPr>
          <w:color w:val="231F20"/>
          <w:sz w:val="14"/>
        </w:rPr>
        <w:t>：</w:t>
      </w:r>
      <w:r>
        <w:rPr>
          <w:rFonts w:ascii="Century Gothic" w:eastAsia="Century Gothic"/>
          <w:color w:val="231F20"/>
          <w:sz w:val="14"/>
        </w:rPr>
        <w:t>estimated</w:t>
      </w:r>
      <w:r w:rsidRPr="003E247F">
        <w:rPr>
          <w:rStyle w:val="20"/>
        </w:rPr>
        <w:t xml:space="preserve"> </w:t>
      </w:r>
      <w:r>
        <w:rPr>
          <w:rStyle w:val="20"/>
        </w:rPr>
        <w:t>energy r</w:t>
      </w:r>
      <w:r w:rsidRPr="003E247F">
        <w:rPr>
          <w:rStyle w:val="20"/>
        </w:rPr>
        <w:t>equiremen</w:t>
      </w:r>
      <w:r>
        <w:rPr>
          <w:rFonts w:ascii="Century Gothic" w:eastAsia="Century Gothic"/>
          <w:color w:val="231F20"/>
          <w:sz w:val="14"/>
        </w:rPr>
        <w:t>t</w:t>
      </w:r>
      <w:r>
        <w:rPr>
          <w:rFonts w:ascii="SimSun" w:eastAsia="SimSun"/>
          <w:color w:val="231F20"/>
          <w:sz w:val="14"/>
        </w:rPr>
        <w:t>，</w:t>
      </w:r>
      <w:r>
        <w:rPr>
          <w:rFonts w:ascii="Century Gothic" w:eastAsia="Century Gothic"/>
          <w:color w:val="231F20"/>
          <w:sz w:val="14"/>
        </w:rPr>
        <w:t>RDA</w:t>
      </w:r>
      <w:r>
        <w:rPr>
          <w:color w:val="231F20"/>
          <w:sz w:val="14"/>
        </w:rPr>
        <w:t>：</w:t>
      </w:r>
      <w:r>
        <w:rPr>
          <w:rFonts w:ascii="Century Gothic" w:eastAsia="Century Gothic"/>
          <w:color w:val="231F20"/>
          <w:sz w:val="14"/>
        </w:rPr>
        <w:t>recommended</w:t>
      </w:r>
      <w:r>
        <w:rPr>
          <w:rFonts w:ascii="Century Gothic" w:eastAsia="Century Gothic"/>
          <w:color w:val="231F20"/>
          <w:spacing w:val="40"/>
          <w:sz w:val="14"/>
        </w:rPr>
        <w:t xml:space="preserve"> </w:t>
      </w:r>
      <w:r>
        <w:rPr>
          <w:rFonts w:ascii="Century Gothic" w:eastAsia="Century Gothic"/>
          <w:color w:val="231F20"/>
          <w:sz w:val="14"/>
        </w:rPr>
        <w:t>dietary</w:t>
      </w:r>
      <w:r>
        <w:rPr>
          <w:rFonts w:ascii="Century Gothic" w:eastAsia="Century Gothic"/>
          <w:color w:val="231F20"/>
          <w:spacing w:val="40"/>
          <w:sz w:val="14"/>
        </w:rPr>
        <w:t xml:space="preserve"> </w:t>
      </w:r>
      <w:r>
        <w:rPr>
          <w:rFonts w:ascii="Century Gothic" w:eastAsia="Century Gothic"/>
          <w:color w:val="231F20"/>
          <w:sz w:val="14"/>
        </w:rPr>
        <w:t>allowance</w:t>
      </w:r>
      <w:r>
        <w:rPr>
          <w:rFonts w:ascii="SimSun" w:eastAsia="SimSun"/>
          <w:color w:val="231F20"/>
          <w:sz w:val="14"/>
        </w:rPr>
        <w:t>，</w:t>
      </w:r>
      <w:r>
        <w:rPr>
          <w:rFonts w:ascii="Century Gothic" w:eastAsia="Century Gothic"/>
          <w:color w:val="231F20"/>
          <w:sz w:val="14"/>
        </w:rPr>
        <w:t>AI</w:t>
      </w:r>
      <w:r>
        <w:rPr>
          <w:color w:val="231F20"/>
          <w:sz w:val="14"/>
        </w:rPr>
        <w:t>：</w:t>
      </w:r>
      <w:r>
        <w:rPr>
          <w:rFonts w:ascii="Century Gothic" w:eastAsia="Century Gothic"/>
          <w:color w:val="231F20"/>
          <w:sz w:val="14"/>
        </w:rPr>
        <w:t>adequate</w:t>
      </w:r>
      <w:r>
        <w:rPr>
          <w:rFonts w:ascii="Century Gothic" w:eastAsia="Century Gothic"/>
          <w:color w:val="231F20"/>
          <w:spacing w:val="40"/>
          <w:sz w:val="14"/>
        </w:rPr>
        <w:t xml:space="preserve"> </w:t>
      </w:r>
      <w:r>
        <w:rPr>
          <w:rFonts w:ascii="Century Gothic" w:eastAsia="Century Gothic"/>
          <w:color w:val="231F20"/>
          <w:sz w:val="14"/>
        </w:rPr>
        <w:t>intake</w:t>
      </w:r>
      <w:r>
        <w:rPr>
          <w:rFonts w:ascii="SimSun" w:eastAsia="SimSun"/>
          <w:color w:val="231F20"/>
          <w:sz w:val="14"/>
        </w:rPr>
        <w:t>，</w:t>
      </w:r>
      <w:r>
        <w:rPr>
          <w:rFonts w:ascii="Century Gothic" w:eastAsia="Century Gothic"/>
          <w:color w:val="231F20"/>
          <w:w w:val="105"/>
          <w:sz w:val="14"/>
        </w:rPr>
        <w:t>DG</w:t>
      </w:r>
      <w:r>
        <w:rPr>
          <w:color w:val="231F20"/>
          <w:w w:val="105"/>
          <w:sz w:val="14"/>
        </w:rPr>
        <w:t>：</w:t>
      </w:r>
      <w:r>
        <w:rPr>
          <w:rFonts w:ascii="Century Gothic" w:eastAsia="Century Gothic"/>
          <w:color w:val="231F20"/>
          <w:w w:val="105"/>
          <w:sz w:val="14"/>
        </w:rPr>
        <w:t xml:space="preserve">tentative dietary goal for preventing life-style related diseases,  </w:t>
      </w:r>
      <w:r>
        <w:rPr>
          <w:rFonts w:ascii="Century Gothic" w:eastAsia="Century Gothic"/>
          <w:color w:val="231F20"/>
          <w:sz w:val="14"/>
        </w:rPr>
        <w:t>UL</w:t>
      </w:r>
      <w:r>
        <w:rPr>
          <w:color w:val="231F20"/>
          <w:sz w:val="14"/>
        </w:rPr>
        <w:t>：</w:t>
      </w:r>
      <w:r>
        <w:rPr>
          <w:rFonts w:ascii="Century Gothic" w:eastAsia="Century Gothic"/>
          <w:color w:val="231F20"/>
          <w:sz w:val="14"/>
        </w:rPr>
        <w:t>tolerable</w:t>
      </w:r>
      <w:r>
        <w:rPr>
          <w:rFonts w:ascii="Century Gothic" w:eastAsia="Century Gothic"/>
          <w:color w:val="231F20"/>
          <w:spacing w:val="40"/>
          <w:sz w:val="14"/>
        </w:rPr>
        <w:t xml:space="preserve"> </w:t>
      </w:r>
      <w:r>
        <w:rPr>
          <w:rFonts w:ascii="Century Gothic" w:eastAsia="Century Gothic"/>
          <w:color w:val="231F20"/>
          <w:sz w:val="14"/>
        </w:rPr>
        <w:t>upper</w:t>
      </w:r>
      <w:r>
        <w:rPr>
          <w:rFonts w:ascii="Century Gothic" w:eastAsia="Century Gothic"/>
          <w:color w:val="231F20"/>
          <w:spacing w:val="40"/>
          <w:sz w:val="14"/>
        </w:rPr>
        <w:t xml:space="preserve"> </w:t>
      </w:r>
      <w:r>
        <w:rPr>
          <w:rFonts w:ascii="Century Gothic" w:eastAsia="Century Gothic"/>
          <w:color w:val="231F20"/>
          <w:sz w:val="14"/>
        </w:rPr>
        <w:t>intake</w:t>
      </w:r>
      <w:r>
        <w:rPr>
          <w:rFonts w:ascii="Century Gothic" w:eastAsia="Century Gothic"/>
          <w:color w:val="231F20"/>
          <w:w w:val="105"/>
          <w:sz w:val="14"/>
        </w:rPr>
        <w:t xml:space="preserve"> level</w:t>
      </w:r>
    </w:p>
    <w:p w14:paraId="28F3BD9F" w14:textId="67F856CD" w:rsidR="003E247F" w:rsidRDefault="003E247F" w:rsidP="003E247F">
      <w:pPr>
        <w:snapToGrid w:val="0"/>
        <w:spacing w:before="103" w:line="160" w:lineRule="atLeast"/>
        <w:ind w:left="221"/>
        <w:rPr>
          <w:rFonts w:ascii="Century Gothic"/>
        </w:rPr>
      </w:pPr>
      <w:r>
        <w:rPr>
          <w:rFonts w:ascii="SimSun" w:eastAsia="SimSun"/>
          <w:color w:val="231F20"/>
          <w:w w:val="105"/>
          <w:sz w:val="14"/>
        </w:rPr>
        <w:t>，</w:t>
      </w:r>
    </w:p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6872A7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08F63" w14:textId="77777777" w:rsidR="003405EE" w:rsidRDefault="003405EE" w:rsidP="00726731">
      <w:r>
        <w:separator/>
      </w:r>
    </w:p>
  </w:endnote>
  <w:endnote w:type="continuationSeparator" w:id="0">
    <w:p w14:paraId="1247A75E" w14:textId="77777777" w:rsidR="003405EE" w:rsidRDefault="003405E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1ED3" w14:textId="77777777" w:rsidR="003405EE" w:rsidRDefault="003405EE" w:rsidP="00726731">
      <w:r>
        <w:separator/>
      </w:r>
    </w:p>
  </w:footnote>
  <w:footnote w:type="continuationSeparator" w:id="0">
    <w:p w14:paraId="01D5A6A4" w14:textId="77777777" w:rsidR="003405EE" w:rsidRDefault="003405E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57494"/>
    <w:rsid w:val="00152841"/>
    <w:rsid w:val="001965F3"/>
    <w:rsid w:val="00251DA7"/>
    <w:rsid w:val="003405EE"/>
    <w:rsid w:val="00361994"/>
    <w:rsid w:val="003D7BAA"/>
    <w:rsid w:val="003E247F"/>
    <w:rsid w:val="0046657B"/>
    <w:rsid w:val="00475908"/>
    <w:rsid w:val="004C3367"/>
    <w:rsid w:val="004E1427"/>
    <w:rsid w:val="00537F56"/>
    <w:rsid w:val="00545731"/>
    <w:rsid w:val="0059587B"/>
    <w:rsid w:val="00627AB6"/>
    <w:rsid w:val="00666D70"/>
    <w:rsid w:val="006872A7"/>
    <w:rsid w:val="006E3D22"/>
    <w:rsid w:val="006E5B57"/>
    <w:rsid w:val="00726731"/>
    <w:rsid w:val="008134CE"/>
    <w:rsid w:val="00876762"/>
    <w:rsid w:val="008B4270"/>
    <w:rsid w:val="00931AE7"/>
    <w:rsid w:val="00A10090"/>
    <w:rsid w:val="00A41A1C"/>
    <w:rsid w:val="00AE463D"/>
    <w:rsid w:val="00B859FC"/>
    <w:rsid w:val="00BB6505"/>
    <w:rsid w:val="00BF1A6E"/>
    <w:rsid w:val="00C31B8A"/>
    <w:rsid w:val="00C37C45"/>
    <w:rsid w:val="00C74F04"/>
    <w:rsid w:val="00D27746"/>
    <w:rsid w:val="00D863A2"/>
    <w:rsid w:val="00E4032E"/>
    <w:rsid w:val="00E46582"/>
    <w:rsid w:val="00EC2823"/>
    <w:rsid w:val="00EF179E"/>
    <w:rsid w:val="00F56639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神尾</cp:lastModifiedBy>
  <cp:revision>9</cp:revision>
  <cp:lastPrinted>2022-10-06T01:59:00Z</cp:lastPrinted>
  <dcterms:created xsi:type="dcterms:W3CDTF">2022-10-04T04:16:00Z</dcterms:created>
  <dcterms:modified xsi:type="dcterms:W3CDTF">2025-01-22T02:59:00Z</dcterms:modified>
</cp:coreProperties>
</file>